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661DAD" w14:textId="77777777" w:rsidR="00470E00" w:rsidRDefault="00470E00">
      <w:pPr>
        <w:rPr>
          <w:rFonts w:ascii="Verdana" w:hAnsi="Verdana"/>
        </w:rPr>
      </w:pPr>
    </w:p>
    <w:p w14:paraId="198B9CF1" w14:textId="48FF587B" w:rsidR="00470E00" w:rsidRPr="00F4307A" w:rsidRDefault="00470E00">
      <w:pPr>
        <w:rPr>
          <w:rFonts w:ascii="Verdana" w:hAnsi="Verdana"/>
          <w:sz w:val="28"/>
          <w:szCs w:val="28"/>
          <w:u w:val="single"/>
        </w:rPr>
      </w:pPr>
      <w:r w:rsidRPr="00F4307A">
        <w:rPr>
          <w:rFonts w:ascii="Verdana" w:hAnsi="Verdana"/>
          <w:b/>
          <w:sz w:val="28"/>
          <w:szCs w:val="28"/>
          <w:u w:val="single"/>
        </w:rPr>
        <w:t xml:space="preserve">Anlage zur Bekanntmachung Auswahlverfahren </w:t>
      </w:r>
      <w:r>
        <w:rPr>
          <w:rFonts w:ascii="Verdana" w:hAnsi="Verdana"/>
          <w:b/>
          <w:sz w:val="28"/>
          <w:szCs w:val="28"/>
          <w:u w:val="single"/>
        </w:rPr>
        <w:br/>
      </w:r>
      <w:r w:rsidR="007F1C57">
        <w:rPr>
          <w:rFonts w:ascii="Verdana" w:hAnsi="Verdana"/>
          <w:b/>
          <w:sz w:val="28"/>
          <w:szCs w:val="28"/>
          <w:u w:val="single"/>
        </w:rPr>
        <w:t>Waa</w:t>
      </w:r>
      <w:r w:rsidR="004D358D">
        <w:rPr>
          <w:rFonts w:ascii="Verdana" w:hAnsi="Verdana"/>
          <w:b/>
          <w:sz w:val="28"/>
          <w:szCs w:val="28"/>
          <w:u w:val="single"/>
        </w:rPr>
        <w:t>kirchen</w:t>
      </w:r>
      <w:r>
        <w:rPr>
          <w:rFonts w:ascii="Verdana" w:hAnsi="Verdana"/>
          <w:b/>
          <w:sz w:val="28"/>
          <w:szCs w:val="28"/>
          <w:u w:val="single"/>
        </w:rPr>
        <w:t xml:space="preserve"> vom </w:t>
      </w:r>
      <w:r w:rsidR="0048792C">
        <w:rPr>
          <w:rFonts w:ascii="Verdana" w:hAnsi="Verdana"/>
          <w:b/>
          <w:sz w:val="28"/>
          <w:szCs w:val="28"/>
          <w:highlight w:val="yellow"/>
          <w:u w:val="single"/>
        </w:rPr>
        <w:t>28.05</w:t>
      </w:r>
      <w:bookmarkStart w:id="0" w:name="_GoBack"/>
      <w:bookmarkEnd w:id="0"/>
      <w:r w:rsidRPr="00CC0173">
        <w:rPr>
          <w:rFonts w:ascii="Verdana" w:hAnsi="Verdana"/>
          <w:b/>
          <w:sz w:val="28"/>
          <w:szCs w:val="28"/>
          <w:highlight w:val="yellow"/>
          <w:u w:val="single"/>
        </w:rPr>
        <w:t>.201</w:t>
      </w:r>
      <w:r w:rsidR="008A01CE">
        <w:rPr>
          <w:rFonts w:ascii="Verdana" w:hAnsi="Verdana"/>
          <w:b/>
          <w:sz w:val="28"/>
          <w:szCs w:val="28"/>
          <w:u w:val="single"/>
        </w:rPr>
        <w:t>8</w:t>
      </w:r>
    </w:p>
    <w:p w14:paraId="41A74F8C" w14:textId="77777777" w:rsidR="00470E00" w:rsidRDefault="00470E00">
      <w:pPr>
        <w:rPr>
          <w:rFonts w:ascii="Verdana" w:hAnsi="Verdana"/>
        </w:rPr>
      </w:pPr>
    </w:p>
    <w:p w14:paraId="4AA3945C" w14:textId="23DABC67" w:rsidR="00470E00" w:rsidRPr="00A863D3" w:rsidRDefault="00470E00" w:rsidP="00FA4E9F">
      <w:pPr>
        <w:rPr>
          <w:rFonts w:ascii="Verdana" w:hAnsi="Verdana"/>
          <w:b/>
          <w:sz w:val="22"/>
          <w:szCs w:val="22"/>
        </w:rPr>
      </w:pPr>
      <w:r>
        <w:rPr>
          <w:rFonts w:ascii="Verdana" w:hAnsi="Verdana"/>
          <w:b/>
          <w:sz w:val="22"/>
          <w:szCs w:val="22"/>
        </w:rPr>
        <w:t xml:space="preserve">Übersicht und </w:t>
      </w:r>
      <w:r w:rsidRPr="00A863D3">
        <w:rPr>
          <w:rFonts w:ascii="Verdana" w:hAnsi="Verdana"/>
          <w:b/>
          <w:sz w:val="22"/>
          <w:szCs w:val="22"/>
        </w:rPr>
        <w:t>Detaildarstellungen</w:t>
      </w:r>
      <w:r>
        <w:rPr>
          <w:rFonts w:ascii="Verdana" w:hAnsi="Verdana"/>
          <w:b/>
          <w:sz w:val="22"/>
          <w:szCs w:val="22"/>
        </w:rPr>
        <w:t xml:space="preserve"> der Erschließungsgebiete</w:t>
      </w:r>
    </w:p>
    <w:p w14:paraId="774CAC5D" w14:textId="59453AC4" w:rsidR="00470E00" w:rsidRDefault="00470E00">
      <w:pPr>
        <w:rPr>
          <w:rFonts w:ascii="Verdana" w:hAnsi="Verdana"/>
          <w:sz w:val="22"/>
          <w:szCs w:val="22"/>
        </w:rPr>
      </w:pPr>
    </w:p>
    <w:p w14:paraId="537D55A8" w14:textId="06D19063" w:rsidR="008D74BF" w:rsidRPr="00B46B6F" w:rsidRDefault="00470E00">
      <w:pPr>
        <w:rPr>
          <w:rFonts w:ascii="Verdana" w:hAnsi="Verdana"/>
          <w:sz w:val="22"/>
          <w:szCs w:val="22"/>
        </w:rPr>
      </w:pPr>
      <w:r>
        <w:rPr>
          <w:rFonts w:ascii="Verdana" w:hAnsi="Verdana"/>
          <w:sz w:val="22"/>
          <w:szCs w:val="22"/>
        </w:rPr>
        <w:t xml:space="preserve">Karte 1 zeigt die Übersicht über das Erschließungsgebiet </w:t>
      </w:r>
      <w:r w:rsidR="003A7BE8">
        <w:rPr>
          <w:rFonts w:ascii="Verdana" w:hAnsi="Verdana"/>
          <w:sz w:val="22"/>
          <w:szCs w:val="22"/>
        </w:rPr>
        <w:t>Waa</w:t>
      </w:r>
      <w:r w:rsidR="004D358D">
        <w:rPr>
          <w:rFonts w:ascii="Verdana" w:hAnsi="Verdana"/>
          <w:sz w:val="22"/>
          <w:szCs w:val="22"/>
        </w:rPr>
        <w:t>kirchen</w:t>
      </w:r>
      <w:r>
        <w:rPr>
          <w:rFonts w:ascii="Verdana" w:hAnsi="Verdana"/>
          <w:sz w:val="22"/>
          <w:szCs w:val="22"/>
        </w:rPr>
        <w:t xml:space="preserve">. </w:t>
      </w:r>
    </w:p>
    <w:p w14:paraId="0A4C0133" w14:textId="4E75581B" w:rsidR="00470E00" w:rsidRDefault="00F24DFA">
      <w:pPr>
        <w:rPr>
          <w:rFonts w:ascii="Verdana" w:hAnsi="Verdana"/>
        </w:rPr>
      </w:pPr>
      <w:r w:rsidRPr="00F24DFA">
        <w:t xml:space="preserve"> </w:t>
      </w:r>
      <w:r w:rsidR="0021602C" w:rsidRPr="0021602C">
        <w:rPr>
          <w:noProof/>
        </w:rPr>
        <w:drawing>
          <wp:inline distT="0" distB="0" distL="0" distR="0" wp14:anchorId="06C1EBF6" wp14:editId="7EA5E563">
            <wp:extent cx="4972685" cy="5669280"/>
            <wp:effectExtent l="0" t="0" r="571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86885" cy="5685469"/>
                    </a:xfrm>
                    <a:prstGeom prst="rect">
                      <a:avLst/>
                    </a:prstGeom>
                  </pic:spPr>
                </pic:pic>
              </a:graphicData>
            </a:graphic>
          </wp:inline>
        </w:drawing>
      </w:r>
    </w:p>
    <w:p w14:paraId="20D6BBF9" w14:textId="77777777" w:rsidR="00470E00" w:rsidRPr="00A863D3" w:rsidRDefault="00470E00">
      <w:pPr>
        <w:rPr>
          <w:rFonts w:ascii="Verdana" w:hAnsi="Verdana"/>
          <w:sz w:val="16"/>
          <w:szCs w:val="16"/>
        </w:rPr>
      </w:pPr>
      <w:r w:rsidRPr="00A863D3">
        <w:rPr>
          <w:rFonts w:ascii="Verdana" w:hAnsi="Verdana"/>
          <w:sz w:val="16"/>
          <w:szCs w:val="16"/>
        </w:rPr>
        <w:t>Karte 1: Übersicht</w:t>
      </w:r>
    </w:p>
    <w:p w14:paraId="68F60D01" w14:textId="77777777" w:rsidR="00470E00" w:rsidRPr="00073080" w:rsidRDefault="00470E00">
      <w:pPr>
        <w:rPr>
          <w:rFonts w:ascii="Verdana" w:hAnsi="Verdan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Pr>
      <w:tblGrid>
        <w:gridCol w:w="2835"/>
        <w:gridCol w:w="2944"/>
        <w:gridCol w:w="2944"/>
      </w:tblGrid>
      <w:tr w:rsidR="00470E00" w:rsidRPr="003B0C37" w14:paraId="05E2913C" w14:textId="77777777">
        <w:tc>
          <w:tcPr>
            <w:tcW w:w="2835" w:type="dxa"/>
            <w:shd w:val="clear" w:color="auto" w:fill="D9D9D9"/>
          </w:tcPr>
          <w:p w14:paraId="425DDF7E" w14:textId="77777777" w:rsidR="00470E00" w:rsidRPr="003B0C37" w:rsidRDefault="00470E00">
            <w:pPr>
              <w:rPr>
                <w:rFonts w:ascii="Verdana" w:hAnsi="Verdana"/>
                <w:b/>
                <w:sz w:val="20"/>
                <w:szCs w:val="20"/>
              </w:rPr>
            </w:pPr>
          </w:p>
        </w:tc>
        <w:tc>
          <w:tcPr>
            <w:tcW w:w="2944" w:type="dxa"/>
            <w:shd w:val="clear" w:color="auto" w:fill="D9D9D9"/>
          </w:tcPr>
          <w:p w14:paraId="2653AF7B" w14:textId="1C3C9523" w:rsidR="00470E00" w:rsidRPr="003B0C37" w:rsidRDefault="00470E00">
            <w:pPr>
              <w:rPr>
                <w:rFonts w:ascii="Verdana" w:hAnsi="Verdana"/>
                <w:b/>
                <w:sz w:val="20"/>
                <w:szCs w:val="20"/>
              </w:rPr>
            </w:pPr>
            <w:r w:rsidRPr="003B0C37">
              <w:rPr>
                <w:rFonts w:ascii="Verdana" w:hAnsi="Verdana"/>
                <w:b/>
                <w:sz w:val="20"/>
                <w:szCs w:val="20"/>
              </w:rPr>
              <w:t>Bandbreite Download</w:t>
            </w:r>
          </w:p>
        </w:tc>
        <w:tc>
          <w:tcPr>
            <w:tcW w:w="2944" w:type="dxa"/>
            <w:shd w:val="clear" w:color="auto" w:fill="D9D9D9"/>
          </w:tcPr>
          <w:p w14:paraId="737FB8D4" w14:textId="77777777" w:rsidR="00470E00" w:rsidRPr="003B0C37" w:rsidRDefault="00470E00">
            <w:pPr>
              <w:rPr>
                <w:rFonts w:ascii="Verdana" w:hAnsi="Verdana"/>
                <w:b/>
                <w:sz w:val="20"/>
                <w:szCs w:val="20"/>
              </w:rPr>
            </w:pPr>
            <w:r w:rsidRPr="003B0C37">
              <w:rPr>
                <w:rFonts w:ascii="Verdana" w:hAnsi="Verdana"/>
                <w:b/>
                <w:sz w:val="20"/>
                <w:szCs w:val="20"/>
              </w:rPr>
              <w:t>Bandbreite Upload</w:t>
            </w:r>
          </w:p>
        </w:tc>
      </w:tr>
      <w:tr w:rsidR="00EB51D3" w:rsidRPr="003B0C37" w14:paraId="6956E753" w14:textId="77777777">
        <w:tc>
          <w:tcPr>
            <w:tcW w:w="2835" w:type="dxa"/>
            <w:shd w:val="clear" w:color="auto" w:fill="auto"/>
          </w:tcPr>
          <w:p w14:paraId="5FEA53C8" w14:textId="07A3DF7B" w:rsidR="00EB51D3" w:rsidRPr="003B0C37" w:rsidRDefault="00EB51D3" w:rsidP="00EB51D3">
            <w:pPr>
              <w:rPr>
                <w:rFonts w:ascii="Verdana" w:hAnsi="Verdana"/>
                <w:sz w:val="20"/>
                <w:szCs w:val="20"/>
              </w:rPr>
            </w:pPr>
            <w:r>
              <w:rPr>
                <w:rFonts w:ascii="Verdana" w:hAnsi="Verdana"/>
                <w:sz w:val="20"/>
                <w:szCs w:val="20"/>
              </w:rPr>
              <w:t xml:space="preserve">Alle u.a. </w:t>
            </w:r>
            <w:r w:rsidRPr="00732D4B">
              <w:rPr>
                <w:rFonts w:ascii="Verdana" w:hAnsi="Verdana"/>
                <w:sz w:val="20"/>
                <w:szCs w:val="20"/>
              </w:rPr>
              <w:t>Ortsbereich</w:t>
            </w:r>
            <w:r>
              <w:rPr>
                <w:rFonts w:ascii="Verdana" w:hAnsi="Verdana"/>
                <w:sz w:val="20"/>
                <w:szCs w:val="20"/>
              </w:rPr>
              <w:t>e</w:t>
            </w:r>
          </w:p>
        </w:tc>
        <w:tc>
          <w:tcPr>
            <w:tcW w:w="2944" w:type="dxa"/>
            <w:shd w:val="clear" w:color="auto" w:fill="auto"/>
          </w:tcPr>
          <w:p w14:paraId="122A5725" w14:textId="538F3085" w:rsidR="00EB51D3" w:rsidRPr="00EB51D3" w:rsidRDefault="00EB51D3" w:rsidP="00EB51D3">
            <w:pPr>
              <w:rPr>
                <w:rFonts w:ascii="Verdana" w:hAnsi="Verdana"/>
                <w:sz w:val="20"/>
                <w:szCs w:val="20"/>
              </w:rPr>
            </w:pPr>
            <w:r w:rsidRPr="00EB51D3">
              <w:rPr>
                <w:rFonts w:ascii="Verdana" w:hAnsi="Verdana"/>
                <w:sz w:val="20"/>
                <w:szCs w:val="20"/>
              </w:rPr>
              <w:t>mindestens 100 MBit/s</w:t>
            </w:r>
          </w:p>
        </w:tc>
        <w:tc>
          <w:tcPr>
            <w:tcW w:w="2944" w:type="dxa"/>
            <w:shd w:val="clear" w:color="auto" w:fill="auto"/>
          </w:tcPr>
          <w:p w14:paraId="08380CFC" w14:textId="37454006" w:rsidR="00EB51D3" w:rsidRPr="003B0C37" w:rsidRDefault="00EB51D3" w:rsidP="00EB51D3">
            <w:pPr>
              <w:rPr>
                <w:rFonts w:ascii="Verdana" w:hAnsi="Verdana"/>
                <w:sz w:val="20"/>
                <w:szCs w:val="20"/>
              </w:rPr>
            </w:pPr>
            <w:r w:rsidRPr="003B0C37">
              <w:rPr>
                <w:rFonts w:ascii="Verdana" w:hAnsi="Verdana"/>
                <w:sz w:val="20"/>
                <w:szCs w:val="20"/>
              </w:rPr>
              <w:t xml:space="preserve">mindestens </w:t>
            </w:r>
            <w:r>
              <w:rPr>
                <w:rFonts w:ascii="Verdana" w:hAnsi="Verdana"/>
                <w:sz w:val="20"/>
                <w:szCs w:val="20"/>
              </w:rPr>
              <w:t>10</w:t>
            </w:r>
            <w:r w:rsidRPr="003B0C37">
              <w:rPr>
                <w:rFonts w:ascii="Verdana" w:hAnsi="Verdana"/>
                <w:sz w:val="20"/>
                <w:szCs w:val="20"/>
              </w:rPr>
              <w:t xml:space="preserve"> MBit/s</w:t>
            </w:r>
          </w:p>
        </w:tc>
      </w:tr>
    </w:tbl>
    <w:p w14:paraId="29591F27" w14:textId="6A29F9B4" w:rsidR="00470E00" w:rsidRPr="004634E2" w:rsidRDefault="00470E00">
      <w:pPr>
        <w:rPr>
          <w:rFonts w:ascii="Verdana" w:hAnsi="Verdana"/>
          <w:sz w:val="16"/>
          <w:szCs w:val="16"/>
        </w:rPr>
      </w:pPr>
      <w:r w:rsidRPr="00F62F56">
        <w:rPr>
          <w:rFonts w:ascii="Verdana" w:hAnsi="Verdana"/>
          <w:sz w:val="16"/>
          <w:szCs w:val="16"/>
        </w:rPr>
        <w:t>Tabelle 1: Übersicht über die zu erzielenden Bandbreiten</w:t>
      </w:r>
      <w:r>
        <w:rPr>
          <w:rFonts w:ascii="Verdana" w:hAnsi="Verdana"/>
          <w:sz w:val="22"/>
          <w:szCs w:val="22"/>
        </w:rPr>
        <w:br w:type="page"/>
      </w:r>
    </w:p>
    <w:p w14:paraId="4B6C788F" w14:textId="08A7A7B9" w:rsidR="004634E2" w:rsidRDefault="004634E2">
      <w:pPr>
        <w:rPr>
          <w:rFonts w:ascii="Verdana" w:hAnsi="Verdana"/>
          <w:b/>
          <w:sz w:val="22"/>
          <w:szCs w:val="22"/>
        </w:rPr>
      </w:pPr>
    </w:p>
    <w:p w14:paraId="5B0CF5FB" w14:textId="11FE9039" w:rsidR="00470E00" w:rsidRPr="00C76C89" w:rsidRDefault="00B80B83">
      <w:pPr>
        <w:rPr>
          <w:rFonts w:ascii="Verdana" w:hAnsi="Verdana"/>
          <w:b/>
          <w:sz w:val="22"/>
          <w:szCs w:val="22"/>
        </w:rPr>
      </w:pPr>
      <w:r>
        <w:rPr>
          <w:rFonts w:ascii="Verdana" w:hAnsi="Verdana"/>
          <w:b/>
          <w:sz w:val="22"/>
          <w:szCs w:val="22"/>
        </w:rPr>
        <w:t>Bereich</w:t>
      </w:r>
      <w:r w:rsidR="00433D5C">
        <w:rPr>
          <w:rFonts w:ascii="Verdana" w:hAnsi="Verdana"/>
          <w:b/>
          <w:sz w:val="22"/>
          <w:szCs w:val="22"/>
        </w:rPr>
        <w:t xml:space="preserve"> </w:t>
      </w:r>
      <w:r w:rsidR="00EB51D3">
        <w:rPr>
          <w:rFonts w:ascii="Verdana" w:hAnsi="Verdana"/>
          <w:b/>
          <w:sz w:val="22"/>
          <w:szCs w:val="22"/>
        </w:rPr>
        <w:t>Georgenried</w:t>
      </w:r>
      <w:r w:rsidR="00D03533">
        <w:rPr>
          <w:rFonts w:ascii="Verdana" w:hAnsi="Verdana"/>
          <w:b/>
          <w:sz w:val="22"/>
          <w:szCs w:val="22"/>
        </w:rPr>
        <w:t>:</w:t>
      </w:r>
    </w:p>
    <w:p w14:paraId="4A7351E8" w14:textId="77777777" w:rsidR="00EB51D3" w:rsidRPr="00E57D55" w:rsidRDefault="00EB51D3" w:rsidP="00EB51D3">
      <w:pPr>
        <w:widowControl w:val="0"/>
        <w:autoSpaceDE w:val="0"/>
        <w:autoSpaceDN w:val="0"/>
        <w:adjustRightInd w:val="0"/>
        <w:rPr>
          <w:rFonts w:ascii="Verdana" w:hAnsi="Verdana"/>
          <w:sz w:val="22"/>
          <w:szCs w:val="22"/>
        </w:rPr>
      </w:pPr>
      <w:r w:rsidRPr="00C76C89">
        <w:rPr>
          <w:rFonts w:ascii="Verdana" w:hAnsi="Verdana"/>
          <w:sz w:val="22"/>
          <w:szCs w:val="22"/>
        </w:rPr>
        <w:t>Na</w:t>
      </w:r>
      <w:r>
        <w:rPr>
          <w:rFonts w:ascii="Verdana" w:hAnsi="Verdana"/>
          <w:sz w:val="22"/>
          <w:szCs w:val="22"/>
        </w:rPr>
        <w:t xml:space="preserve">ch dem </w:t>
      </w:r>
      <w:proofErr w:type="spellStart"/>
      <w:r>
        <w:rPr>
          <w:rFonts w:ascii="Verdana" w:hAnsi="Verdana"/>
          <w:sz w:val="22"/>
          <w:szCs w:val="22"/>
        </w:rPr>
        <w:t>Auf</w:t>
      </w:r>
      <w:proofErr w:type="spellEnd"/>
      <w:r>
        <w:rPr>
          <w:rFonts w:ascii="Verdana" w:hAnsi="Verdana"/>
          <w:sz w:val="22"/>
          <w:szCs w:val="22"/>
        </w:rPr>
        <w:t xml:space="preserve">- bzw. Ausbau sollen </w:t>
      </w:r>
      <w:r w:rsidRPr="00C76C89">
        <w:rPr>
          <w:rFonts w:ascii="Verdana" w:hAnsi="Verdana"/>
          <w:sz w:val="22"/>
          <w:szCs w:val="22"/>
        </w:rPr>
        <w:t xml:space="preserve">in diesem Bereich </w:t>
      </w:r>
      <w:r w:rsidRPr="005878DE">
        <w:rPr>
          <w:rFonts w:ascii="Verdana" w:hAnsi="Verdana"/>
          <w:sz w:val="22"/>
          <w:szCs w:val="22"/>
        </w:rPr>
        <w:t>Übertragungsraten in mindestens doppeltem Umfang</w:t>
      </w:r>
      <w:r w:rsidRPr="005878DE">
        <w:rPr>
          <w:rFonts w:ascii="Verdana" w:hAnsi="Verdana"/>
          <w:sz w:val="22"/>
          <w:szCs w:val="22"/>
          <w:vertAlign w:val="superscript"/>
        </w:rPr>
        <w:footnoteReference w:id="1"/>
      </w:r>
      <w:r w:rsidRPr="005878DE">
        <w:rPr>
          <w:rFonts w:ascii="Verdana" w:hAnsi="Verdana"/>
          <w:sz w:val="22"/>
          <w:szCs w:val="22"/>
        </w:rPr>
        <w:t xml:space="preserve"> der Übertragungsraten (Upload und Download) gemäß der Darstellung des Ergebnisses der Markterkundung für alle möglichen Endkunden, die noch nicht mit Bandbreiten nach Nr. 1.2 Satz 3 </w:t>
      </w:r>
      <w:proofErr w:type="spellStart"/>
      <w:r w:rsidRPr="005878DE">
        <w:rPr>
          <w:rFonts w:ascii="Verdana" w:hAnsi="Verdana"/>
          <w:sz w:val="22"/>
          <w:szCs w:val="22"/>
        </w:rPr>
        <w:t>BbR</w:t>
      </w:r>
      <w:proofErr w:type="spellEnd"/>
      <w:r w:rsidRPr="005878DE">
        <w:rPr>
          <w:rFonts w:ascii="Verdana" w:hAnsi="Verdana"/>
          <w:sz w:val="22"/>
          <w:szCs w:val="22"/>
        </w:rPr>
        <w:t xml:space="preserve"> versorgt werden</w:t>
      </w:r>
      <w:r>
        <w:rPr>
          <w:rFonts w:ascii="Verdana" w:hAnsi="Verdana"/>
          <w:sz w:val="22"/>
          <w:szCs w:val="22"/>
        </w:rPr>
        <w:t xml:space="preserve"> und </w:t>
      </w:r>
      <w:r w:rsidRPr="00C76C89">
        <w:rPr>
          <w:rFonts w:ascii="Verdana" w:hAnsi="Verdana"/>
          <w:sz w:val="22"/>
          <w:szCs w:val="22"/>
        </w:rPr>
        <w:t xml:space="preserve">Übertragungsraten </w:t>
      </w:r>
      <w:r>
        <w:rPr>
          <w:rFonts w:ascii="Verdana" w:hAnsi="Verdana"/>
          <w:sz w:val="22"/>
          <w:szCs w:val="22"/>
        </w:rPr>
        <w:t xml:space="preserve">von </w:t>
      </w:r>
      <w:r w:rsidRPr="00C76C89">
        <w:rPr>
          <w:rFonts w:ascii="Verdana" w:hAnsi="Verdana"/>
          <w:sz w:val="22"/>
          <w:szCs w:val="22"/>
        </w:rPr>
        <w:t>min</w:t>
      </w:r>
      <w:r>
        <w:rPr>
          <w:rFonts w:ascii="Verdana" w:hAnsi="Verdana"/>
          <w:sz w:val="22"/>
          <w:szCs w:val="22"/>
        </w:rPr>
        <w:t>destens 100</w:t>
      </w:r>
      <w:r w:rsidRPr="00C76C89">
        <w:rPr>
          <w:rFonts w:ascii="Verdana" w:hAnsi="Verdana"/>
          <w:sz w:val="22"/>
          <w:szCs w:val="22"/>
        </w:rPr>
        <w:t xml:space="preserve"> Mbit/s im Download und von mindestens </w:t>
      </w:r>
      <w:r>
        <w:rPr>
          <w:rFonts w:ascii="Verdana" w:hAnsi="Verdana"/>
          <w:sz w:val="22"/>
          <w:szCs w:val="22"/>
        </w:rPr>
        <w:t>10</w:t>
      </w:r>
      <w:r w:rsidRPr="00C76C89">
        <w:rPr>
          <w:rFonts w:ascii="Verdana" w:hAnsi="Verdana"/>
          <w:sz w:val="22"/>
          <w:szCs w:val="22"/>
        </w:rPr>
        <w:t xml:space="preserve"> Mbit/s im Upload </w:t>
      </w:r>
      <w:r>
        <w:rPr>
          <w:rFonts w:ascii="Verdana" w:hAnsi="Verdana"/>
          <w:sz w:val="22"/>
          <w:szCs w:val="22"/>
        </w:rPr>
        <w:t>fü</w:t>
      </w:r>
      <w:r w:rsidRPr="00C76C89">
        <w:rPr>
          <w:rFonts w:ascii="Verdana" w:hAnsi="Verdana"/>
          <w:sz w:val="22"/>
          <w:szCs w:val="22"/>
        </w:rPr>
        <w:t xml:space="preserve">r alle möglichen Endkunden sowie Upload-Geschwindigkeiten, die viel höher sind als bei Netzen der Breitbandgrundversorgung (mindestens 2 Mbit/s) </w:t>
      </w:r>
      <w:r>
        <w:rPr>
          <w:rFonts w:ascii="Verdana" w:hAnsi="Verdana"/>
          <w:sz w:val="22"/>
          <w:szCs w:val="22"/>
        </w:rPr>
        <w:t>zu Verfü</w:t>
      </w:r>
      <w:r w:rsidRPr="00C76C89">
        <w:rPr>
          <w:rFonts w:ascii="Verdana" w:hAnsi="Verdana"/>
          <w:sz w:val="22"/>
          <w:szCs w:val="22"/>
        </w:rPr>
        <w:t>gung stehen.</w:t>
      </w:r>
      <w:r>
        <w:rPr>
          <w:rFonts w:ascii="Verdana" w:hAnsi="Verdana"/>
          <w:sz w:val="22"/>
          <w:szCs w:val="22"/>
        </w:rPr>
        <w:t xml:space="preserve"> </w:t>
      </w:r>
    </w:p>
    <w:p w14:paraId="705DA746" w14:textId="186D3CF7" w:rsidR="00470E00" w:rsidRDefault="00470E00" w:rsidP="00470E00">
      <w:pPr>
        <w:widowControl w:val="0"/>
        <w:autoSpaceDE w:val="0"/>
        <w:autoSpaceDN w:val="0"/>
        <w:adjustRightInd w:val="0"/>
        <w:rPr>
          <w:sz w:val="22"/>
          <w:szCs w:val="20"/>
          <w:lang w:eastAsia="en-US"/>
        </w:rPr>
      </w:pPr>
    </w:p>
    <w:p w14:paraId="31C8969D" w14:textId="43C9B069" w:rsidR="0093243E" w:rsidRDefault="008F6D0A" w:rsidP="00470E00">
      <w:pPr>
        <w:widowControl w:val="0"/>
        <w:autoSpaceDE w:val="0"/>
        <w:autoSpaceDN w:val="0"/>
        <w:adjustRightInd w:val="0"/>
        <w:rPr>
          <w:sz w:val="22"/>
          <w:szCs w:val="20"/>
          <w:lang w:eastAsia="en-US"/>
        </w:rPr>
      </w:pPr>
      <w:r w:rsidRPr="008F6D0A">
        <w:rPr>
          <w:noProof/>
          <w:sz w:val="22"/>
          <w:szCs w:val="20"/>
        </w:rPr>
        <w:drawing>
          <wp:inline distT="0" distB="0" distL="0" distR="0" wp14:anchorId="2B817A85" wp14:editId="0AD4129F">
            <wp:extent cx="5518785" cy="5143500"/>
            <wp:effectExtent l="0" t="0" r="571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18785" cy="5143500"/>
                    </a:xfrm>
                    <a:prstGeom prst="rect">
                      <a:avLst/>
                    </a:prstGeom>
                  </pic:spPr>
                </pic:pic>
              </a:graphicData>
            </a:graphic>
          </wp:inline>
        </w:drawing>
      </w:r>
    </w:p>
    <w:p w14:paraId="49CEF8EE" w14:textId="2430A5F8" w:rsidR="0093243E" w:rsidRDefault="0093243E" w:rsidP="00470E00">
      <w:pPr>
        <w:widowControl w:val="0"/>
        <w:autoSpaceDE w:val="0"/>
        <w:autoSpaceDN w:val="0"/>
        <w:adjustRightInd w:val="0"/>
        <w:rPr>
          <w:sz w:val="22"/>
          <w:szCs w:val="20"/>
          <w:lang w:eastAsia="en-US"/>
        </w:rPr>
      </w:pPr>
    </w:p>
    <w:p w14:paraId="1E27DB6A" w14:textId="666A6395" w:rsidR="0093243E" w:rsidRDefault="0093243E" w:rsidP="00470E00">
      <w:pPr>
        <w:widowControl w:val="0"/>
        <w:autoSpaceDE w:val="0"/>
        <w:autoSpaceDN w:val="0"/>
        <w:adjustRightInd w:val="0"/>
        <w:rPr>
          <w:sz w:val="22"/>
          <w:szCs w:val="20"/>
          <w:lang w:eastAsia="en-US"/>
        </w:rPr>
      </w:pPr>
    </w:p>
    <w:p w14:paraId="14D9DA96" w14:textId="0121D028" w:rsidR="0093243E" w:rsidRPr="00C76C89" w:rsidRDefault="0093243E" w:rsidP="0093243E">
      <w:pPr>
        <w:rPr>
          <w:rFonts w:ascii="Verdana" w:hAnsi="Verdana"/>
          <w:b/>
          <w:sz w:val="22"/>
          <w:szCs w:val="22"/>
        </w:rPr>
      </w:pPr>
      <w:r>
        <w:rPr>
          <w:rFonts w:ascii="Verdana" w:hAnsi="Verdana"/>
          <w:b/>
          <w:sz w:val="22"/>
          <w:szCs w:val="22"/>
        </w:rPr>
        <w:lastRenderedPageBreak/>
        <w:t xml:space="preserve">Bereich </w:t>
      </w:r>
      <w:proofErr w:type="spellStart"/>
      <w:r w:rsidR="00EB51D3">
        <w:rPr>
          <w:rFonts w:ascii="Verdana" w:hAnsi="Verdana"/>
          <w:b/>
          <w:sz w:val="22"/>
          <w:szCs w:val="22"/>
        </w:rPr>
        <w:t>Riedern</w:t>
      </w:r>
      <w:proofErr w:type="spellEnd"/>
      <w:r>
        <w:rPr>
          <w:rFonts w:ascii="Verdana" w:hAnsi="Verdana"/>
          <w:b/>
          <w:sz w:val="22"/>
          <w:szCs w:val="22"/>
        </w:rPr>
        <w:t>:</w:t>
      </w:r>
    </w:p>
    <w:p w14:paraId="09261515" w14:textId="77777777" w:rsidR="00EB51D3" w:rsidRPr="00E57D55" w:rsidRDefault="00EB51D3" w:rsidP="00EB51D3">
      <w:pPr>
        <w:widowControl w:val="0"/>
        <w:autoSpaceDE w:val="0"/>
        <w:autoSpaceDN w:val="0"/>
        <w:adjustRightInd w:val="0"/>
        <w:rPr>
          <w:rFonts w:ascii="Verdana" w:hAnsi="Verdana"/>
          <w:sz w:val="22"/>
          <w:szCs w:val="22"/>
        </w:rPr>
      </w:pPr>
      <w:r w:rsidRPr="00C76C89">
        <w:rPr>
          <w:rFonts w:ascii="Verdana" w:hAnsi="Verdana"/>
          <w:sz w:val="22"/>
          <w:szCs w:val="22"/>
        </w:rPr>
        <w:t>Na</w:t>
      </w:r>
      <w:r>
        <w:rPr>
          <w:rFonts w:ascii="Verdana" w:hAnsi="Verdana"/>
          <w:sz w:val="22"/>
          <w:szCs w:val="22"/>
        </w:rPr>
        <w:t xml:space="preserve">ch dem </w:t>
      </w:r>
      <w:proofErr w:type="spellStart"/>
      <w:r>
        <w:rPr>
          <w:rFonts w:ascii="Verdana" w:hAnsi="Verdana"/>
          <w:sz w:val="22"/>
          <w:szCs w:val="22"/>
        </w:rPr>
        <w:t>Auf</w:t>
      </w:r>
      <w:proofErr w:type="spellEnd"/>
      <w:r>
        <w:rPr>
          <w:rFonts w:ascii="Verdana" w:hAnsi="Verdana"/>
          <w:sz w:val="22"/>
          <w:szCs w:val="22"/>
        </w:rPr>
        <w:t xml:space="preserve">- bzw. Ausbau sollen </w:t>
      </w:r>
      <w:r w:rsidRPr="00C76C89">
        <w:rPr>
          <w:rFonts w:ascii="Verdana" w:hAnsi="Verdana"/>
          <w:sz w:val="22"/>
          <w:szCs w:val="22"/>
        </w:rPr>
        <w:t xml:space="preserve">in diesem Bereich </w:t>
      </w:r>
      <w:r w:rsidRPr="005878DE">
        <w:rPr>
          <w:rFonts w:ascii="Verdana" w:hAnsi="Verdana"/>
          <w:sz w:val="22"/>
          <w:szCs w:val="22"/>
        </w:rPr>
        <w:t>Übertragungsraten in mindestens doppeltem Umfang</w:t>
      </w:r>
      <w:r w:rsidRPr="005878DE">
        <w:rPr>
          <w:rFonts w:ascii="Verdana" w:hAnsi="Verdana"/>
          <w:sz w:val="22"/>
          <w:szCs w:val="22"/>
          <w:vertAlign w:val="superscript"/>
        </w:rPr>
        <w:footnoteReference w:id="2"/>
      </w:r>
      <w:r w:rsidRPr="005878DE">
        <w:rPr>
          <w:rFonts w:ascii="Verdana" w:hAnsi="Verdana"/>
          <w:sz w:val="22"/>
          <w:szCs w:val="22"/>
        </w:rPr>
        <w:t xml:space="preserve"> der Übertragungsraten (Upload und Download) gemäß der Darstellung des Ergebnisses der Markterkundung für alle möglichen Endkunden, die noch nicht mit Bandbreiten nach Nr. 1.2 Satz 3 </w:t>
      </w:r>
      <w:proofErr w:type="spellStart"/>
      <w:r w:rsidRPr="005878DE">
        <w:rPr>
          <w:rFonts w:ascii="Verdana" w:hAnsi="Verdana"/>
          <w:sz w:val="22"/>
          <w:szCs w:val="22"/>
        </w:rPr>
        <w:t>BbR</w:t>
      </w:r>
      <w:proofErr w:type="spellEnd"/>
      <w:r w:rsidRPr="005878DE">
        <w:rPr>
          <w:rFonts w:ascii="Verdana" w:hAnsi="Verdana"/>
          <w:sz w:val="22"/>
          <w:szCs w:val="22"/>
        </w:rPr>
        <w:t xml:space="preserve"> versorgt werden</w:t>
      </w:r>
      <w:r>
        <w:rPr>
          <w:rFonts w:ascii="Verdana" w:hAnsi="Verdana"/>
          <w:sz w:val="22"/>
          <w:szCs w:val="22"/>
        </w:rPr>
        <w:t xml:space="preserve"> und </w:t>
      </w:r>
      <w:r w:rsidRPr="00C76C89">
        <w:rPr>
          <w:rFonts w:ascii="Verdana" w:hAnsi="Verdana"/>
          <w:sz w:val="22"/>
          <w:szCs w:val="22"/>
        </w:rPr>
        <w:t xml:space="preserve">Übertragungsraten </w:t>
      </w:r>
      <w:r>
        <w:rPr>
          <w:rFonts w:ascii="Verdana" w:hAnsi="Verdana"/>
          <w:sz w:val="22"/>
          <w:szCs w:val="22"/>
        </w:rPr>
        <w:t xml:space="preserve">von </w:t>
      </w:r>
      <w:r w:rsidRPr="00C76C89">
        <w:rPr>
          <w:rFonts w:ascii="Verdana" w:hAnsi="Verdana"/>
          <w:sz w:val="22"/>
          <w:szCs w:val="22"/>
        </w:rPr>
        <w:t>min</w:t>
      </w:r>
      <w:r>
        <w:rPr>
          <w:rFonts w:ascii="Verdana" w:hAnsi="Verdana"/>
          <w:sz w:val="22"/>
          <w:szCs w:val="22"/>
        </w:rPr>
        <w:t>destens 100</w:t>
      </w:r>
      <w:r w:rsidRPr="00C76C89">
        <w:rPr>
          <w:rFonts w:ascii="Verdana" w:hAnsi="Verdana"/>
          <w:sz w:val="22"/>
          <w:szCs w:val="22"/>
        </w:rPr>
        <w:t xml:space="preserve"> Mbit/s im Download und von mindestens </w:t>
      </w:r>
      <w:r>
        <w:rPr>
          <w:rFonts w:ascii="Verdana" w:hAnsi="Verdana"/>
          <w:sz w:val="22"/>
          <w:szCs w:val="22"/>
        </w:rPr>
        <w:t>10</w:t>
      </w:r>
      <w:r w:rsidRPr="00C76C89">
        <w:rPr>
          <w:rFonts w:ascii="Verdana" w:hAnsi="Verdana"/>
          <w:sz w:val="22"/>
          <w:szCs w:val="22"/>
        </w:rPr>
        <w:t xml:space="preserve"> Mbit/s im Upload </w:t>
      </w:r>
      <w:r>
        <w:rPr>
          <w:rFonts w:ascii="Verdana" w:hAnsi="Verdana"/>
          <w:sz w:val="22"/>
          <w:szCs w:val="22"/>
        </w:rPr>
        <w:t>fü</w:t>
      </w:r>
      <w:r w:rsidRPr="00C76C89">
        <w:rPr>
          <w:rFonts w:ascii="Verdana" w:hAnsi="Verdana"/>
          <w:sz w:val="22"/>
          <w:szCs w:val="22"/>
        </w:rPr>
        <w:t xml:space="preserve">r alle möglichen Endkunden sowie Upload-Geschwindigkeiten, die viel höher sind als bei Netzen der Breitbandgrundversorgung (mindestens 2 Mbit/s) </w:t>
      </w:r>
      <w:r>
        <w:rPr>
          <w:rFonts w:ascii="Verdana" w:hAnsi="Verdana"/>
          <w:sz w:val="22"/>
          <w:szCs w:val="22"/>
        </w:rPr>
        <w:t>zu Verfü</w:t>
      </w:r>
      <w:r w:rsidRPr="00C76C89">
        <w:rPr>
          <w:rFonts w:ascii="Verdana" w:hAnsi="Verdana"/>
          <w:sz w:val="22"/>
          <w:szCs w:val="22"/>
        </w:rPr>
        <w:t>gung stehen.</w:t>
      </w:r>
      <w:r>
        <w:rPr>
          <w:rFonts w:ascii="Verdana" w:hAnsi="Verdana"/>
          <w:sz w:val="22"/>
          <w:szCs w:val="22"/>
        </w:rPr>
        <w:t xml:space="preserve"> </w:t>
      </w:r>
    </w:p>
    <w:p w14:paraId="0C070EDD" w14:textId="77777777" w:rsidR="0093243E" w:rsidRDefault="0093243E" w:rsidP="0093243E">
      <w:pPr>
        <w:widowControl w:val="0"/>
        <w:autoSpaceDE w:val="0"/>
        <w:autoSpaceDN w:val="0"/>
        <w:adjustRightInd w:val="0"/>
        <w:rPr>
          <w:sz w:val="22"/>
          <w:szCs w:val="20"/>
          <w:lang w:eastAsia="en-US"/>
        </w:rPr>
      </w:pPr>
    </w:p>
    <w:p w14:paraId="05D1DF26" w14:textId="6228EC31" w:rsidR="0093243E" w:rsidRDefault="001F0257" w:rsidP="0093243E">
      <w:pPr>
        <w:widowControl w:val="0"/>
        <w:autoSpaceDE w:val="0"/>
        <w:autoSpaceDN w:val="0"/>
        <w:adjustRightInd w:val="0"/>
        <w:rPr>
          <w:sz w:val="22"/>
          <w:szCs w:val="20"/>
          <w:lang w:eastAsia="en-US"/>
        </w:rPr>
      </w:pPr>
      <w:r w:rsidRPr="001F0257">
        <w:rPr>
          <w:noProof/>
          <w:sz w:val="22"/>
          <w:szCs w:val="20"/>
        </w:rPr>
        <w:drawing>
          <wp:inline distT="0" distB="0" distL="0" distR="0" wp14:anchorId="56F9FE46" wp14:editId="7F6F28FF">
            <wp:extent cx="5518150" cy="4964854"/>
            <wp:effectExtent l="0" t="0" r="0" b="127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4585" cy="4970643"/>
                    </a:xfrm>
                    <a:prstGeom prst="rect">
                      <a:avLst/>
                    </a:prstGeom>
                  </pic:spPr>
                </pic:pic>
              </a:graphicData>
            </a:graphic>
          </wp:inline>
        </w:drawing>
      </w:r>
    </w:p>
    <w:p w14:paraId="5F6A6462" w14:textId="1A5D1F46" w:rsidR="0093243E" w:rsidRDefault="0093243E" w:rsidP="0093243E">
      <w:pPr>
        <w:widowControl w:val="0"/>
        <w:autoSpaceDE w:val="0"/>
        <w:autoSpaceDN w:val="0"/>
        <w:adjustRightInd w:val="0"/>
        <w:rPr>
          <w:sz w:val="22"/>
          <w:szCs w:val="20"/>
          <w:lang w:eastAsia="en-US"/>
        </w:rPr>
      </w:pPr>
    </w:p>
    <w:p w14:paraId="0F99EA8E" w14:textId="77777777" w:rsidR="0093243E" w:rsidRDefault="0093243E" w:rsidP="0093243E">
      <w:pPr>
        <w:rPr>
          <w:rFonts w:ascii="Verdana" w:hAnsi="Verdana"/>
          <w:sz w:val="16"/>
          <w:szCs w:val="16"/>
        </w:rPr>
      </w:pPr>
      <w:r>
        <w:rPr>
          <w:rFonts w:ascii="Verdana" w:hAnsi="Verdana"/>
          <w:sz w:val="16"/>
          <w:szCs w:val="16"/>
        </w:rPr>
        <w:tab/>
      </w:r>
      <w:r>
        <w:rPr>
          <w:rFonts w:ascii="Verdana" w:hAnsi="Verdana"/>
          <w:sz w:val="16"/>
          <w:szCs w:val="16"/>
        </w:rPr>
        <w:tab/>
      </w:r>
    </w:p>
    <w:p w14:paraId="1EC81318" w14:textId="77777777" w:rsidR="0093243E" w:rsidRDefault="0093243E" w:rsidP="0093243E">
      <w:pPr>
        <w:rPr>
          <w:rFonts w:ascii="Verdana" w:hAnsi="Verdana"/>
          <w:sz w:val="16"/>
          <w:szCs w:val="16"/>
        </w:rPr>
      </w:pPr>
    </w:p>
    <w:p w14:paraId="7C913A76" w14:textId="77777777" w:rsidR="0093243E" w:rsidRDefault="0093243E" w:rsidP="0093243E">
      <w:pPr>
        <w:rPr>
          <w:rFonts w:ascii="Verdana" w:hAnsi="Verdana"/>
          <w:sz w:val="16"/>
          <w:szCs w:val="16"/>
        </w:rPr>
      </w:pPr>
    </w:p>
    <w:p w14:paraId="26F6E0C5" w14:textId="6E0EE015" w:rsidR="0019575F" w:rsidRPr="007D7027" w:rsidRDefault="0019575F" w:rsidP="0019575F">
      <w:pPr>
        <w:rPr>
          <w:rFonts w:ascii="Verdana" w:hAnsi="Verdana"/>
          <w:sz w:val="16"/>
          <w:szCs w:val="16"/>
        </w:rPr>
      </w:pPr>
      <w:r>
        <w:rPr>
          <w:rFonts w:ascii="Verdana" w:hAnsi="Verdana"/>
          <w:b/>
          <w:sz w:val="22"/>
          <w:szCs w:val="22"/>
        </w:rPr>
        <w:lastRenderedPageBreak/>
        <w:t xml:space="preserve">Bereich </w:t>
      </w:r>
      <w:r w:rsidR="00EB51D3">
        <w:rPr>
          <w:rFonts w:ascii="Verdana" w:hAnsi="Verdana"/>
          <w:b/>
          <w:sz w:val="22"/>
          <w:szCs w:val="22"/>
        </w:rPr>
        <w:t>Steinberg</w:t>
      </w:r>
      <w:r>
        <w:rPr>
          <w:rFonts w:ascii="Verdana" w:hAnsi="Verdana"/>
          <w:b/>
          <w:sz w:val="22"/>
          <w:szCs w:val="22"/>
        </w:rPr>
        <w:t>:</w:t>
      </w:r>
    </w:p>
    <w:p w14:paraId="490C0752" w14:textId="77777777" w:rsidR="00EB51D3" w:rsidRPr="00E57D55" w:rsidRDefault="00EB51D3" w:rsidP="00EB51D3">
      <w:pPr>
        <w:widowControl w:val="0"/>
        <w:autoSpaceDE w:val="0"/>
        <w:autoSpaceDN w:val="0"/>
        <w:adjustRightInd w:val="0"/>
        <w:rPr>
          <w:rFonts w:ascii="Verdana" w:hAnsi="Verdana"/>
          <w:sz w:val="22"/>
          <w:szCs w:val="22"/>
        </w:rPr>
      </w:pPr>
      <w:r w:rsidRPr="00C76C89">
        <w:rPr>
          <w:rFonts w:ascii="Verdana" w:hAnsi="Verdana"/>
          <w:sz w:val="22"/>
          <w:szCs w:val="22"/>
        </w:rPr>
        <w:t>Na</w:t>
      </w:r>
      <w:r>
        <w:rPr>
          <w:rFonts w:ascii="Verdana" w:hAnsi="Verdana"/>
          <w:sz w:val="22"/>
          <w:szCs w:val="22"/>
        </w:rPr>
        <w:t xml:space="preserve">ch dem </w:t>
      </w:r>
      <w:proofErr w:type="spellStart"/>
      <w:r>
        <w:rPr>
          <w:rFonts w:ascii="Verdana" w:hAnsi="Verdana"/>
          <w:sz w:val="22"/>
          <w:szCs w:val="22"/>
        </w:rPr>
        <w:t>Auf</w:t>
      </w:r>
      <w:proofErr w:type="spellEnd"/>
      <w:r>
        <w:rPr>
          <w:rFonts w:ascii="Verdana" w:hAnsi="Verdana"/>
          <w:sz w:val="22"/>
          <w:szCs w:val="22"/>
        </w:rPr>
        <w:t xml:space="preserve">- bzw. Ausbau sollen </w:t>
      </w:r>
      <w:r w:rsidRPr="00C76C89">
        <w:rPr>
          <w:rFonts w:ascii="Verdana" w:hAnsi="Verdana"/>
          <w:sz w:val="22"/>
          <w:szCs w:val="22"/>
        </w:rPr>
        <w:t xml:space="preserve">in diesem Bereich </w:t>
      </w:r>
      <w:r w:rsidRPr="005878DE">
        <w:rPr>
          <w:rFonts w:ascii="Verdana" w:hAnsi="Verdana"/>
          <w:sz w:val="22"/>
          <w:szCs w:val="22"/>
        </w:rPr>
        <w:t>Übertragungsraten in mindestens doppeltem Umfang</w:t>
      </w:r>
      <w:r w:rsidRPr="005878DE">
        <w:rPr>
          <w:rFonts w:ascii="Verdana" w:hAnsi="Verdana"/>
          <w:sz w:val="22"/>
          <w:szCs w:val="22"/>
          <w:vertAlign w:val="superscript"/>
        </w:rPr>
        <w:footnoteReference w:id="3"/>
      </w:r>
      <w:r w:rsidRPr="005878DE">
        <w:rPr>
          <w:rFonts w:ascii="Verdana" w:hAnsi="Verdana"/>
          <w:sz w:val="22"/>
          <w:szCs w:val="22"/>
        </w:rPr>
        <w:t xml:space="preserve"> der Übertragungsraten (Upload und Download) gemäß der Darstellung des Ergebnisses der Markterkundung für alle möglichen Endkunden, die noch nicht mit Bandbreiten nach Nr. 1.2 Satz 3 </w:t>
      </w:r>
      <w:proofErr w:type="spellStart"/>
      <w:r w:rsidRPr="005878DE">
        <w:rPr>
          <w:rFonts w:ascii="Verdana" w:hAnsi="Verdana"/>
          <w:sz w:val="22"/>
          <w:szCs w:val="22"/>
        </w:rPr>
        <w:t>BbR</w:t>
      </w:r>
      <w:proofErr w:type="spellEnd"/>
      <w:r w:rsidRPr="005878DE">
        <w:rPr>
          <w:rFonts w:ascii="Verdana" w:hAnsi="Verdana"/>
          <w:sz w:val="22"/>
          <w:szCs w:val="22"/>
        </w:rPr>
        <w:t xml:space="preserve"> versorgt werden</w:t>
      </w:r>
      <w:r>
        <w:rPr>
          <w:rFonts w:ascii="Verdana" w:hAnsi="Verdana"/>
          <w:sz w:val="22"/>
          <w:szCs w:val="22"/>
        </w:rPr>
        <w:t xml:space="preserve"> und </w:t>
      </w:r>
      <w:r w:rsidRPr="00C76C89">
        <w:rPr>
          <w:rFonts w:ascii="Verdana" w:hAnsi="Verdana"/>
          <w:sz w:val="22"/>
          <w:szCs w:val="22"/>
        </w:rPr>
        <w:t xml:space="preserve">Übertragungsraten </w:t>
      </w:r>
      <w:r>
        <w:rPr>
          <w:rFonts w:ascii="Verdana" w:hAnsi="Verdana"/>
          <w:sz w:val="22"/>
          <w:szCs w:val="22"/>
        </w:rPr>
        <w:t xml:space="preserve">von </w:t>
      </w:r>
      <w:r w:rsidRPr="00C76C89">
        <w:rPr>
          <w:rFonts w:ascii="Verdana" w:hAnsi="Verdana"/>
          <w:sz w:val="22"/>
          <w:szCs w:val="22"/>
        </w:rPr>
        <w:t>min</w:t>
      </w:r>
      <w:r>
        <w:rPr>
          <w:rFonts w:ascii="Verdana" w:hAnsi="Verdana"/>
          <w:sz w:val="22"/>
          <w:szCs w:val="22"/>
        </w:rPr>
        <w:t>destens 100</w:t>
      </w:r>
      <w:r w:rsidRPr="00C76C89">
        <w:rPr>
          <w:rFonts w:ascii="Verdana" w:hAnsi="Verdana"/>
          <w:sz w:val="22"/>
          <w:szCs w:val="22"/>
        </w:rPr>
        <w:t xml:space="preserve"> Mbit/s im Download und von mindestens </w:t>
      </w:r>
      <w:r>
        <w:rPr>
          <w:rFonts w:ascii="Verdana" w:hAnsi="Verdana"/>
          <w:sz w:val="22"/>
          <w:szCs w:val="22"/>
        </w:rPr>
        <w:t>10</w:t>
      </w:r>
      <w:r w:rsidRPr="00C76C89">
        <w:rPr>
          <w:rFonts w:ascii="Verdana" w:hAnsi="Verdana"/>
          <w:sz w:val="22"/>
          <w:szCs w:val="22"/>
        </w:rPr>
        <w:t xml:space="preserve"> Mbit/s im Upload </w:t>
      </w:r>
      <w:r>
        <w:rPr>
          <w:rFonts w:ascii="Verdana" w:hAnsi="Verdana"/>
          <w:sz w:val="22"/>
          <w:szCs w:val="22"/>
        </w:rPr>
        <w:t>fü</w:t>
      </w:r>
      <w:r w:rsidRPr="00C76C89">
        <w:rPr>
          <w:rFonts w:ascii="Verdana" w:hAnsi="Verdana"/>
          <w:sz w:val="22"/>
          <w:szCs w:val="22"/>
        </w:rPr>
        <w:t xml:space="preserve">r alle möglichen Endkunden sowie Upload-Geschwindigkeiten, die viel höher sind als bei Netzen der Breitbandgrundversorgung (mindestens 2 Mbit/s) </w:t>
      </w:r>
      <w:r>
        <w:rPr>
          <w:rFonts w:ascii="Verdana" w:hAnsi="Verdana"/>
          <w:sz w:val="22"/>
          <w:szCs w:val="22"/>
        </w:rPr>
        <w:t>zu Verfü</w:t>
      </w:r>
      <w:r w:rsidRPr="00C76C89">
        <w:rPr>
          <w:rFonts w:ascii="Verdana" w:hAnsi="Verdana"/>
          <w:sz w:val="22"/>
          <w:szCs w:val="22"/>
        </w:rPr>
        <w:t>gung stehen.</w:t>
      </w:r>
      <w:r>
        <w:rPr>
          <w:rFonts w:ascii="Verdana" w:hAnsi="Verdana"/>
          <w:sz w:val="22"/>
          <w:szCs w:val="22"/>
        </w:rPr>
        <w:t xml:space="preserve"> </w:t>
      </w:r>
    </w:p>
    <w:p w14:paraId="2DA3F285" w14:textId="77777777" w:rsidR="00A31457" w:rsidRPr="00C76C89" w:rsidRDefault="00A31457" w:rsidP="00162821">
      <w:pPr>
        <w:widowControl w:val="0"/>
        <w:autoSpaceDE w:val="0"/>
        <w:autoSpaceDN w:val="0"/>
        <w:adjustRightInd w:val="0"/>
        <w:rPr>
          <w:rFonts w:ascii="Verdana" w:hAnsi="Verdana"/>
          <w:sz w:val="22"/>
          <w:szCs w:val="22"/>
        </w:rPr>
      </w:pPr>
    </w:p>
    <w:p w14:paraId="059BAEDD" w14:textId="363EC079" w:rsidR="00162821" w:rsidRDefault="000E58B1" w:rsidP="00162821">
      <w:pPr>
        <w:widowControl w:val="0"/>
        <w:autoSpaceDE w:val="0"/>
        <w:autoSpaceDN w:val="0"/>
        <w:adjustRightInd w:val="0"/>
        <w:rPr>
          <w:sz w:val="22"/>
          <w:szCs w:val="20"/>
          <w:lang w:eastAsia="en-US"/>
        </w:rPr>
      </w:pPr>
      <w:r w:rsidRPr="000E58B1">
        <w:rPr>
          <w:noProof/>
          <w:sz w:val="22"/>
          <w:szCs w:val="20"/>
        </w:rPr>
        <w:drawing>
          <wp:inline distT="0" distB="0" distL="0" distR="0" wp14:anchorId="206AAC5E" wp14:editId="6358F04A">
            <wp:extent cx="5518785" cy="5212715"/>
            <wp:effectExtent l="0" t="0" r="571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18785" cy="5212715"/>
                    </a:xfrm>
                    <a:prstGeom prst="rect">
                      <a:avLst/>
                    </a:prstGeom>
                  </pic:spPr>
                </pic:pic>
              </a:graphicData>
            </a:graphic>
          </wp:inline>
        </w:drawing>
      </w:r>
    </w:p>
    <w:p w14:paraId="1E7B14AE" w14:textId="77777777" w:rsidR="00E12817" w:rsidRDefault="00E12817" w:rsidP="00EE59C1">
      <w:pPr>
        <w:rPr>
          <w:rFonts w:ascii="Verdana" w:hAnsi="Verdana"/>
          <w:sz w:val="16"/>
          <w:szCs w:val="16"/>
        </w:rPr>
      </w:pPr>
    </w:p>
    <w:p w14:paraId="7CCF9124" w14:textId="4BB7738C" w:rsidR="00B2711F" w:rsidRDefault="00B2711F" w:rsidP="00EE59C1">
      <w:pPr>
        <w:rPr>
          <w:rFonts w:ascii="Verdana" w:hAnsi="Verdana"/>
          <w:sz w:val="16"/>
          <w:szCs w:val="16"/>
        </w:rPr>
      </w:pPr>
    </w:p>
    <w:p w14:paraId="57D8ADAE" w14:textId="2E8BD4AA" w:rsidR="00EB51D3" w:rsidRDefault="00EB51D3" w:rsidP="00EE59C1">
      <w:pPr>
        <w:rPr>
          <w:rFonts w:ascii="Verdana" w:hAnsi="Verdana"/>
          <w:sz w:val="16"/>
          <w:szCs w:val="16"/>
        </w:rPr>
      </w:pPr>
    </w:p>
    <w:p w14:paraId="456A392D" w14:textId="17204EC3" w:rsidR="00EB51D3" w:rsidRDefault="00EB51D3" w:rsidP="00EE59C1">
      <w:pPr>
        <w:rPr>
          <w:rFonts w:ascii="Verdana" w:hAnsi="Verdana"/>
          <w:sz w:val="16"/>
          <w:szCs w:val="16"/>
        </w:rPr>
      </w:pPr>
    </w:p>
    <w:p w14:paraId="49F34DA2" w14:textId="77777777" w:rsidR="00EB51D3" w:rsidRDefault="00EB51D3" w:rsidP="00EB51D3">
      <w:pPr>
        <w:rPr>
          <w:rFonts w:ascii="Verdana" w:hAnsi="Verdana"/>
          <w:sz w:val="16"/>
          <w:szCs w:val="16"/>
        </w:rPr>
      </w:pPr>
      <w:r w:rsidRPr="00AC52E2">
        <w:rPr>
          <w:rFonts w:ascii="Verdana" w:hAnsi="Verdana"/>
          <w:b/>
          <w:sz w:val="22"/>
          <w:szCs w:val="22"/>
        </w:rPr>
        <w:t>Tabelle der zu erschließenden Gebäude</w:t>
      </w:r>
      <w:r>
        <w:rPr>
          <w:rFonts w:ascii="Verdana" w:hAnsi="Verdana"/>
          <w:b/>
          <w:sz w:val="22"/>
          <w:szCs w:val="22"/>
        </w:rPr>
        <w:t xml:space="preserve"> mit </w:t>
      </w:r>
      <w:r w:rsidRPr="00E1108A">
        <w:rPr>
          <w:rFonts w:ascii="Verdana" w:hAnsi="Verdana"/>
          <w:b/>
          <w:sz w:val="22"/>
          <w:szCs w:val="22"/>
        </w:rPr>
        <w:t>mindestens 100 MBit/s</w:t>
      </w:r>
      <w:r>
        <w:rPr>
          <w:rFonts w:ascii="Verdana" w:hAnsi="Verdana"/>
          <w:b/>
          <w:sz w:val="22"/>
          <w:szCs w:val="22"/>
        </w:rPr>
        <w:t xml:space="preserve"> im Download und mindestens 1</w:t>
      </w:r>
      <w:r w:rsidRPr="00E1108A">
        <w:rPr>
          <w:rFonts w:ascii="Verdana" w:hAnsi="Verdana"/>
          <w:b/>
          <w:sz w:val="22"/>
          <w:szCs w:val="22"/>
        </w:rPr>
        <w:t>0 MBit/s</w:t>
      </w:r>
      <w:r>
        <w:rPr>
          <w:rFonts w:ascii="Verdana" w:hAnsi="Verdana"/>
          <w:b/>
          <w:sz w:val="22"/>
          <w:szCs w:val="22"/>
        </w:rPr>
        <w:t xml:space="preserve"> im Upload</w:t>
      </w:r>
      <w:r w:rsidRPr="00AC52E2">
        <w:rPr>
          <w:rFonts w:ascii="Verdana" w:hAnsi="Verdana"/>
          <w:b/>
          <w:sz w:val="22"/>
          <w:szCs w:val="22"/>
        </w:rPr>
        <w:t>:</w:t>
      </w:r>
    </w:p>
    <w:p w14:paraId="15F6277B" w14:textId="77777777" w:rsidR="00EB51D3" w:rsidRDefault="00EB51D3" w:rsidP="00EB51D3">
      <w:pPr>
        <w:rPr>
          <w:rFonts w:ascii="Verdana" w:hAnsi="Verdana"/>
          <w:sz w:val="16"/>
          <w:szCs w:val="16"/>
        </w:rPr>
      </w:pPr>
    </w:p>
    <w:p w14:paraId="4D7A5965" w14:textId="7FDF1D6F" w:rsidR="00EB51D3" w:rsidRDefault="00EB51D3" w:rsidP="00EE59C1">
      <w:pPr>
        <w:rPr>
          <w:rFonts w:ascii="Verdana" w:hAnsi="Verdana"/>
          <w:sz w:val="16"/>
          <w:szCs w:val="16"/>
        </w:rPr>
      </w:pPr>
      <w:r w:rsidRPr="00EB51D3">
        <w:rPr>
          <w:rFonts w:ascii="Verdana" w:hAnsi="Verdana"/>
          <w:noProof/>
          <w:sz w:val="16"/>
          <w:szCs w:val="16"/>
        </w:rPr>
        <w:drawing>
          <wp:inline distT="0" distB="0" distL="0" distR="0" wp14:anchorId="2D7915E0" wp14:editId="1948F13E">
            <wp:extent cx="4838700" cy="20447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38700" cy="2044700"/>
                    </a:xfrm>
                    <a:prstGeom prst="rect">
                      <a:avLst/>
                    </a:prstGeom>
                  </pic:spPr>
                </pic:pic>
              </a:graphicData>
            </a:graphic>
          </wp:inline>
        </w:drawing>
      </w:r>
    </w:p>
    <w:sectPr w:rsidR="00EB51D3" w:rsidSect="00470E00">
      <w:headerReference w:type="default" r:id="rId13"/>
      <w:footerReference w:type="default" r:id="rId14"/>
      <w:pgSz w:w="11906" w:h="16838" w:code="9"/>
      <w:pgMar w:top="1418" w:right="1418" w:bottom="2126" w:left="1797" w:header="709" w:footer="32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5FB73E" w14:textId="77777777" w:rsidR="00886785" w:rsidRDefault="00886785">
      <w:r>
        <w:separator/>
      </w:r>
    </w:p>
  </w:endnote>
  <w:endnote w:type="continuationSeparator" w:id="0">
    <w:p w14:paraId="768F292F" w14:textId="77777777" w:rsidR="00886785" w:rsidRDefault="008867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7905"/>
      <w:gridCol w:w="926"/>
    </w:tblGrid>
    <w:tr w:rsidR="00D9171B" w:rsidRPr="00AB1EF7" w14:paraId="76ED1B27" w14:textId="77777777">
      <w:tc>
        <w:tcPr>
          <w:tcW w:w="7905" w:type="dxa"/>
          <w:shd w:val="clear" w:color="auto" w:fill="auto"/>
        </w:tcPr>
        <w:p w14:paraId="329067D0" w14:textId="1E2B0AEB" w:rsidR="00D9171B" w:rsidRPr="00470E00" w:rsidRDefault="00D9171B" w:rsidP="004634E2">
          <w:pPr>
            <w:pStyle w:val="Fuzeile"/>
            <w:rPr>
              <w:rFonts w:ascii="Verdana" w:hAnsi="Verdana"/>
              <w:sz w:val="16"/>
              <w:szCs w:val="16"/>
              <w:lang w:val="de-DE" w:eastAsia="de-DE"/>
            </w:rPr>
          </w:pPr>
          <w:r w:rsidRPr="00470E00">
            <w:rPr>
              <w:rFonts w:ascii="Verdana" w:hAnsi="Verdana"/>
              <w:sz w:val="16"/>
              <w:szCs w:val="16"/>
              <w:lang w:val="de-DE" w:eastAsia="de-DE"/>
            </w:rPr>
            <w:t xml:space="preserve">Anlage zur Bekanntmachung Auswahlverfahren Breitbandausbau </w:t>
          </w:r>
          <w:r>
            <w:rPr>
              <w:rFonts w:ascii="Verdana" w:hAnsi="Verdana"/>
              <w:sz w:val="16"/>
              <w:szCs w:val="16"/>
              <w:lang w:val="de-DE" w:eastAsia="de-DE"/>
            </w:rPr>
            <w:t>Waakirchen</w:t>
          </w:r>
        </w:p>
      </w:tc>
      <w:tc>
        <w:tcPr>
          <w:tcW w:w="926" w:type="dxa"/>
          <w:shd w:val="clear" w:color="auto" w:fill="auto"/>
        </w:tcPr>
        <w:p w14:paraId="68EB5773" w14:textId="77777777" w:rsidR="00D9171B" w:rsidRPr="00470E00" w:rsidRDefault="00D9171B" w:rsidP="00470E00">
          <w:pPr>
            <w:pStyle w:val="Fuzeile"/>
            <w:rPr>
              <w:rFonts w:ascii="Verdana" w:hAnsi="Verdana"/>
              <w:sz w:val="16"/>
              <w:szCs w:val="16"/>
              <w:lang w:val="de-DE" w:eastAsia="de-DE"/>
            </w:rPr>
          </w:pPr>
          <w:r w:rsidRPr="00470E00">
            <w:rPr>
              <w:rFonts w:ascii="Verdana" w:hAnsi="Verdana"/>
              <w:sz w:val="16"/>
              <w:szCs w:val="16"/>
              <w:lang w:val="de-DE" w:eastAsia="de-DE"/>
            </w:rPr>
            <w:t xml:space="preserve">Seite </w:t>
          </w:r>
          <w:r w:rsidRPr="00470E00">
            <w:rPr>
              <w:rFonts w:ascii="Verdana" w:hAnsi="Verdana"/>
              <w:sz w:val="16"/>
              <w:szCs w:val="16"/>
              <w:lang w:val="de-DE" w:eastAsia="de-DE"/>
            </w:rPr>
            <w:fldChar w:fldCharType="begin"/>
          </w:r>
          <w:r>
            <w:rPr>
              <w:rFonts w:ascii="Verdana" w:hAnsi="Verdana"/>
              <w:sz w:val="16"/>
              <w:szCs w:val="16"/>
              <w:lang w:val="de-DE" w:eastAsia="de-DE"/>
            </w:rPr>
            <w:instrText>PAGE</w:instrText>
          </w:r>
          <w:r w:rsidRPr="00470E00">
            <w:rPr>
              <w:rFonts w:ascii="Verdana" w:hAnsi="Verdana"/>
              <w:sz w:val="16"/>
              <w:szCs w:val="16"/>
              <w:lang w:val="de-DE" w:eastAsia="de-DE"/>
            </w:rPr>
            <w:instrText xml:space="preserve">   \* MERGEFORMAT</w:instrText>
          </w:r>
          <w:r w:rsidRPr="00470E00">
            <w:rPr>
              <w:rFonts w:ascii="Verdana" w:hAnsi="Verdana"/>
              <w:sz w:val="16"/>
              <w:szCs w:val="16"/>
              <w:lang w:val="de-DE" w:eastAsia="de-DE"/>
            </w:rPr>
            <w:fldChar w:fldCharType="separate"/>
          </w:r>
          <w:r w:rsidR="0048792C">
            <w:rPr>
              <w:rFonts w:ascii="Verdana" w:hAnsi="Verdana"/>
              <w:noProof/>
              <w:sz w:val="16"/>
              <w:szCs w:val="16"/>
              <w:lang w:val="de-DE" w:eastAsia="de-DE"/>
            </w:rPr>
            <w:t>5</w:t>
          </w:r>
          <w:r w:rsidRPr="00470E00">
            <w:rPr>
              <w:rFonts w:ascii="Verdana" w:hAnsi="Verdana"/>
              <w:sz w:val="16"/>
              <w:szCs w:val="16"/>
              <w:lang w:val="de-DE" w:eastAsia="de-DE"/>
            </w:rPr>
            <w:fldChar w:fldCharType="end"/>
          </w:r>
        </w:p>
        <w:p w14:paraId="2786BC28" w14:textId="77777777" w:rsidR="00D9171B" w:rsidRPr="00470E00" w:rsidRDefault="00D9171B" w:rsidP="00470E00">
          <w:pPr>
            <w:pStyle w:val="Fuzeile"/>
            <w:jc w:val="right"/>
            <w:rPr>
              <w:rFonts w:ascii="Verdana" w:hAnsi="Verdana"/>
              <w:sz w:val="16"/>
              <w:szCs w:val="16"/>
              <w:lang w:val="de-DE" w:eastAsia="de-DE"/>
            </w:rPr>
          </w:pPr>
        </w:p>
      </w:tc>
    </w:tr>
  </w:tbl>
  <w:p w14:paraId="01379218" w14:textId="77777777" w:rsidR="00D9171B" w:rsidRPr="00AB1EF7" w:rsidRDefault="00D9171B" w:rsidP="00470E00">
    <w:pPr>
      <w:pStyle w:val="Fuzeile"/>
      <w:rPr>
        <w:rFonts w:ascii="Verdana" w:hAnsi="Verdana"/>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30D617" w14:textId="77777777" w:rsidR="00886785" w:rsidRDefault="00886785">
      <w:r>
        <w:separator/>
      </w:r>
    </w:p>
  </w:footnote>
  <w:footnote w:type="continuationSeparator" w:id="0">
    <w:p w14:paraId="0B704AEE" w14:textId="77777777" w:rsidR="00886785" w:rsidRDefault="00886785">
      <w:r>
        <w:continuationSeparator/>
      </w:r>
    </w:p>
  </w:footnote>
  <w:footnote w:id="1">
    <w:p w14:paraId="451A1370" w14:textId="77777777" w:rsidR="00EB51D3" w:rsidRPr="00CD34C4" w:rsidRDefault="00EB51D3" w:rsidP="00EB51D3">
      <w:pPr>
        <w:autoSpaceDE w:val="0"/>
        <w:autoSpaceDN w:val="0"/>
        <w:adjustRightInd w:val="0"/>
        <w:rPr>
          <w:rFonts w:ascii="Arial" w:hAnsi="Arial" w:cs="Arial"/>
          <w:sz w:val="16"/>
          <w:szCs w:val="20"/>
        </w:rPr>
      </w:pPr>
      <w:r w:rsidRPr="00CD34C4">
        <w:rPr>
          <w:rStyle w:val="Funotenzeichen"/>
          <w:rFonts w:ascii="Arial" w:hAnsi="Arial" w:cs="Arial"/>
          <w:sz w:val="18"/>
        </w:rPr>
        <w:footnoteRef/>
      </w:r>
      <w:r w:rsidRPr="00CD34C4">
        <w:rPr>
          <w:rFonts w:ascii="Arial" w:hAnsi="Arial" w:cs="Arial"/>
          <w:sz w:val="18"/>
        </w:rPr>
        <w:t xml:space="preserve"> </w:t>
      </w:r>
      <w:r w:rsidRPr="00CD34C4">
        <w:rPr>
          <w:rFonts w:ascii="Arial" w:hAnsi="Arial" w:cs="Arial"/>
          <w:sz w:val="16"/>
          <w:szCs w:val="20"/>
        </w:rPr>
        <w:t>Wenn der geförderte Ausbau als Nebeneffekt die Breitbandversorgung von einzelnen Anschlüssen verbessert, ohne dass für diese Anschlüsse die Bandbreitenverdoppelung erreicht wird, ist dies unschädlich, sofern für diese Anschlüsse keine zusätzlichen, staatlich finanzierten Investitionen durchgeführt werden.</w:t>
      </w:r>
    </w:p>
  </w:footnote>
  <w:footnote w:id="2">
    <w:p w14:paraId="150371B7" w14:textId="77777777" w:rsidR="00EB51D3" w:rsidRPr="00CD34C4" w:rsidRDefault="00EB51D3" w:rsidP="00EB51D3">
      <w:pPr>
        <w:autoSpaceDE w:val="0"/>
        <w:autoSpaceDN w:val="0"/>
        <w:adjustRightInd w:val="0"/>
        <w:rPr>
          <w:rFonts w:ascii="Arial" w:hAnsi="Arial" w:cs="Arial"/>
          <w:sz w:val="16"/>
          <w:szCs w:val="20"/>
        </w:rPr>
      </w:pPr>
      <w:r w:rsidRPr="00CD34C4">
        <w:rPr>
          <w:rStyle w:val="Funotenzeichen"/>
          <w:rFonts w:ascii="Arial" w:hAnsi="Arial" w:cs="Arial"/>
          <w:sz w:val="18"/>
        </w:rPr>
        <w:footnoteRef/>
      </w:r>
      <w:r w:rsidRPr="00CD34C4">
        <w:rPr>
          <w:rFonts w:ascii="Arial" w:hAnsi="Arial" w:cs="Arial"/>
          <w:sz w:val="18"/>
        </w:rPr>
        <w:t xml:space="preserve"> </w:t>
      </w:r>
      <w:r w:rsidRPr="00CD34C4">
        <w:rPr>
          <w:rFonts w:ascii="Arial" w:hAnsi="Arial" w:cs="Arial"/>
          <w:sz w:val="16"/>
          <w:szCs w:val="20"/>
        </w:rPr>
        <w:t>Wenn der geförderte Ausbau als Nebeneffekt die Breitbandversorgung von einzelnen Anschlüssen verbessert, ohne dass für diese Anschlüsse die Bandbreitenverdoppelung erreicht wird, ist dies unschädlich, sofern für diese Anschlüsse keine zusätzlichen, staatlich finanzierten Investitionen durchgeführt werden.</w:t>
      </w:r>
    </w:p>
  </w:footnote>
  <w:footnote w:id="3">
    <w:p w14:paraId="6D819F6A" w14:textId="77777777" w:rsidR="00EB51D3" w:rsidRPr="00CD34C4" w:rsidRDefault="00EB51D3" w:rsidP="00EB51D3">
      <w:pPr>
        <w:autoSpaceDE w:val="0"/>
        <w:autoSpaceDN w:val="0"/>
        <w:adjustRightInd w:val="0"/>
        <w:rPr>
          <w:rFonts w:ascii="Arial" w:hAnsi="Arial" w:cs="Arial"/>
          <w:sz w:val="16"/>
          <w:szCs w:val="20"/>
        </w:rPr>
      </w:pPr>
      <w:r w:rsidRPr="00CD34C4">
        <w:rPr>
          <w:rStyle w:val="Funotenzeichen"/>
          <w:rFonts w:ascii="Arial" w:hAnsi="Arial" w:cs="Arial"/>
          <w:sz w:val="18"/>
        </w:rPr>
        <w:footnoteRef/>
      </w:r>
      <w:r w:rsidRPr="00CD34C4">
        <w:rPr>
          <w:rFonts w:ascii="Arial" w:hAnsi="Arial" w:cs="Arial"/>
          <w:sz w:val="18"/>
        </w:rPr>
        <w:t xml:space="preserve"> </w:t>
      </w:r>
      <w:r w:rsidRPr="00CD34C4">
        <w:rPr>
          <w:rFonts w:ascii="Arial" w:hAnsi="Arial" w:cs="Arial"/>
          <w:sz w:val="16"/>
          <w:szCs w:val="20"/>
        </w:rPr>
        <w:t>Wenn der geförderte Ausbau als Nebeneffekt die Breitbandversorgung von einzelnen Anschlüssen verbessert, ohne dass für diese Anschlüsse die Bandbreitenverdoppelung erreicht wird, ist dies unschädlich, sofern für diese Anschlüsse keine zusätzlichen, staatlich finanzierten Investitionen durchgeführt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75F39" w14:textId="1E557922" w:rsidR="00D9171B" w:rsidRDefault="00D9171B">
    <w:pPr>
      <w:pStyle w:val="Kopfzeile"/>
      <w:jc w:val="right"/>
    </w:pPr>
    <w:r w:rsidRPr="00FF1FEF">
      <w:rPr>
        <w:rFonts w:ascii="Helvetica" w:hAnsi="Helvetica" w:cs="Helvetica"/>
      </w:rPr>
      <w:t xml:space="preserve"> </w:t>
    </w:r>
    <w:r>
      <w:rPr>
        <w:rFonts w:ascii="Helvetica" w:hAnsi="Helvetica" w:cs="Helvetica"/>
        <w:noProof/>
        <w:lang w:val="de-DE" w:eastAsia="de-DE"/>
      </w:rPr>
      <w:drawing>
        <wp:inline distT="0" distB="0" distL="0" distR="0" wp14:anchorId="07376EB9" wp14:editId="0A7841D9">
          <wp:extent cx="786977" cy="838324"/>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977" cy="838324"/>
                  </a:xfrm>
                  <a:prstGeom prst="rect">
                    <a:avLst/>
                  </a:prstGeom>
                  <a:noFill/>
                  <a:ln>
                    <a:noFill/>
                  </a:ln>
                </pic:spPr>
              </pic:pic>
            </a:graphicData>
          </a:graphic>
        </wp:inline>
      </w:drawing>
    </w:r>
    <w:r>
      <w:rPr>
        <w:rFonts w:ascii="Helvetica" w:hAnsi="Helvetica" w:cs="Helvetica"/>
        <w:noProof/>
        <w:lang w:val="de-DE" w:eastAsia="de-DE"/>
      </w:rPr>
      <w:t xml:space="preserve"> </w:t>
    </w:r>
    <w:r>
      <w:rPr>
        <w:rFonts w:ascii="Helvetica" w:hAnsi="Helvetica" w:cs="Helvetica"/>
      </w:rPr>
      <w:tab/>
    </w:r>
    <w:r>
      <w:rPr>
        <w:rFonts w:ascii="Helvetica" w:hAnsi="Helvetica" w:cs="Helvetica"/>
      </w:rPr>
      <w:tab/>
    </w:r>
    <w:r>
      <w:rPr>
        <w:noProof/>
        <w:lang w:val="de-DE" w:eastAsia="de-DE"/>
      </w:rPr>
      <w:drawing>
        <wp:inline distT="0" distB="0" distL="0" distR="0" wp14:anchorId="5BA1932A" wp14:editId="60979696">
          <wp:extent cx="1430655" cy="762000"/>
          <wp:effectExtent l="0" t="0" r="0" b="0"/>
          <wp:docPr id="2" name="Picture 1" descr="Beschreibung: Description: 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schreibung: Description: logo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0655" cy="762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62E207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C06E63"/>
    <w:multiLevelType w:val="hybridMultilevel"/>
    <w:tmpl w:val="233C0E5C"/>
    <w:lvl w:ilvl="0" w:tplc="0407000F">
      <w:start w:val="1"/>
      <w:numFmt w:val="decimal"/>
      <w:lvlText w:val="%1."/>
      <w:lvlJc w:val="left"/>
      <w:pPr>
        <w:tabs>
          <w:tab w:val="num" w:pos="720"/>
        </w:tabs>
        <w:ind w:left="720" w:hanging="360"/>
      </w:pPr>
    </w:lvl>
    <w:lvl w:ilvl="1" w:tplc="04070019">
      <w:start w:val="1"/>
      <w:numFmt w:val="lowerLetter"/>
      <w:lvlText w:val="%2."/>
      <w:lvlJc w:val="left"/>
      <w:pPr>
        <w:tabs>
          <w:tab w:val="num" w:pos="1669"/>
        </w:tabs>
        <w:ind w:left="1669"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 w15:restartNumberingAfterBreak="0">
    <w:nsid w:val="096D4885"/>
    <w:multiLevelType w:val="hybridMultilevel"/>
    <w:tmpl w:val="0A58339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06930BA"/>
    <w:multiLevelType w:val="hybridMultilevel"/>
    <w:tmpl w:val="6AACE8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B107BBA"/>
    <w:multiLevelType w:val="multilevel"/>
    <w:tmpl w:val="C5EEC486"/>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476"/>
        </w:tabs>
        <w:ind w:left="7476" w:hanging="2520"/>
      </w:pPr>
      <w:rPr>
        <w:rFonts w:hint="default"/>
      </w:rPr>
    </w:lvl>
    <w:lvl w:ilvl="8">
      <w:start w:val="1"/>
      <w:numFmt w:val="decimal"/>
      <w:lvlText w:val="%1.%2.%3.%4.%5.%6.%7.%8.%9"/>
      <w:lvlJc w:val="left"/>
      <w:pPr>
        <w:tabs>
          <w:tab w:val="num" w:pos="8184"/>
        </w:tabs>
        <w:ind w:left="8184" w:hanging="2520"/>
      </w:pPr>
      <w:rPr>
        <w:rFonts w:hint="default"/>
      </w:rPr>
    </w:lvl>
  </w:abstractNum>
  <w:abstractNum w:abstractNumId="5" w15:restartNumberingAfterBreak="0">
    <w:nsid w:val="1B7C1EC8"/>
    <w:multiLevelType w:val="hybridMultilevel"/>
    <w:tmpl w:val="12B2AE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3B57F9E"/>
    <w:multiLevelType w:val="hybridMultilevel"/>
    <w:tmpl w:val="2A74FFB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Symbo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Symbo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9C078C"/>
    <w:multiLevelType w:val="hybridMultilevel"/>
    <w:tmpl w:val="91DACEB4"/>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8" w15:restartNumberingAfterBreak="0">
    <w:nsid w:val="353D2363"/>
    <w:multiLevelType w:val="multilevel"/>
    <w:tmpl w:val="6964971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496"/>
        </w:tabs>
        <w:ind w:left="2496" w:hanging="108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476"/>
        </w:tabs>
        <w:ind w:left="7476" w:hanging="2520"/>
      </w:pPr>
      <w:rPr>
        <w:rFonts w:hint="default"/>
      </w:rPr>
    </w:lvl>
    <w:lvl w:ilvl="8">
      <w:start w:val="1"/>
      <w:numFmt w:val="decimal"/>
      <w:lvlText w:val="%1.%2.%3.%4.%5.%6.%7.%8.%9"/>
      <w:lvlJc w:val="left"/>
      <w:pPr>
        <w:tabs>
          <w:tab w:val="num" w:pos="8184"/>
        </w:tabs>
        <w:ind w:left="8184" w:hanging="2520"/>
      </w:pPr>
      <w:rPr>
        <w:rFonts w:hint="default"/>
      </w:rPr>
    </w:lvl>
  </w:abstractNum>
  <w:abstractNum w:abstractNumId="9" w15:restartNumberingAfterBreak="0">
    <w:nsid w:val="62BF069D"/>
    <w:multiLevelType w:val="hybridMultilevel"/>
    <w:tmpl w:val="2B220A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6BA3627"/>
    <w:multiLevelType w:val="hybridMultilevel"/>
    <w:tmpl w:val="46B4B8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6"/>
  </w:num>
  <w:num w:numId="3">
    <w:abstractNumId w:val="8"/>
  </w:num>
  <w:num w:numId="4">
    <w:abstractNumId w:val="4"/>
  </w:num>
  <w:num w:numId="5">
    <w:abstractNumId w:val="9"/>
  </w:num>
  <w:num w:numId="6">
    <w:abstractNumId w:val="0"/>
  </w:num>
  <w:num w:numId="7">
    <w:abstractNumId w:val="3"/>
  </w:num>
  <w:num w:numId="8">
    <w:abstractNumId w:val="10"/>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7"/>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53F"/>
    <w:rsid w:val="00011252"/>
    <w:rsid w:val="000130CD"/>
    <w:rsid w:val="0009670B"/>
    <w:rsid w:val="000D1321"/>
    <w:rsid w:val="000E58B1"/>
    <w:rsid w:val="000F38A4"/>
    <w:rsid w:val="001602C6"/>
    <w:rsid w:val="00162821"/>
    <w:rsid w:val="001771E8"/>
    <w:rsid w:val="0019575F"/>
    <w:rsid w:val="001A1D81"/>
    <w:rsid w:val="001C52F1"/>
    <w:rsid w:val="001D4C19"/>
    <w:rsid w:val="001F0257"/>
    <w:rsid w:val="0021602C"/>
    <w:rsid w:val="0022302B"/>
    <w:rsid w:val="00232641"/>
    <w:rsid w:val="00256833"/>
    <w:rsid w:val="002E45A8"/>
    <w:rsid w:val="00306C8C"/>
    <w:rsid w:val="003156B7"/>
    <w:rsid w:val="0033453F"/>
    <w:rsid w:val="003537C2"/>
    <w:rsid w:val="003A3BD4"/>
    <w:rsid w:val="003A6273"/>
    <w:rsid w:val="003A7BE8"/>
    <w:rsid w:val="00421C4C"/>
    <w:rsid w:val="00431A08"/>
    <w:rsid w:val="00433D5C"/>
    <w:rsid w:val="00436A88"/>
    <w:rsid w:val="004634E2"/>
    <w:rsid w:val="00470E00"/>
    <w:rsid w:val="0048792C"/>
    <w:rsid w:val="004D34E7"/>
    <w:rsid w:val="004D358D"/>
    <w:rsid w:val="004E508C"/>
    <w:rsid w:val="0050736E"/>
    <w:rsid w:val="0053385E"/>
    <w:rsid w:val="00551142"/>
    <w:rsid w:val="005878DE"/>
    <w:rsid w:val="005B28DA"/>
    <w:rsid w:val="005D5513"/>
    <w:rsid w:val="005E41DE"/>
    <w:rsid w:val="00641E51"/>
    <w:rsid w:val="006F039D"/>
    <w:rsid w:val="006F1271"/>
    <w:rsid w:val="007224D9"/>
    <w:rsid w:val="00751111"/>
    <w:rsid w:val="007623D6"/>
    <w:rsid w:val="007921F8"/>
    <w:rsid w:val="007B73A7"/>
    <w:rsid w:val="007C3168"/>
    <w:rsid w:val="007D7027"/>
    <w:rsid w:val="007F1C57"/>
    <w:rsid w:val="007F2360"/>
    <w:rsid w:val="00863C0E"/>
    <w:rsid w:val="0087219E"/>
    <w:rsid w:val="00886785"/>
    <w:rsid w:val="00886A6F"/>
    <w:rsid w:val="00890E16"/>
    <w:rsid w:val="008914AC"/>
    <w:rsid w:val="008A01CE"/>
    <w:rsid w:val="008D4607"/>
    <w:rsid w:val="008D74BF"/>
    <w:rsid w:val="008E5E06"/>
    <w:rsid w:val="008F6D0A"/>
    <w:rsid w:val="00914EFB"/>
    <w:rsid w:val="0093243E"/>
    <w:rsid w:val="00933702"/>
    <w:rsid w:val="009413CB"/>
    <w:rsid w:val="00960F26"/>
    <w:rsid w:val="009E0FEE"/>
    <w:rsid w:val="00A31457"/>
    <w:rsid w:val="00A65B76"/>
    <w:rsid w:val="00B12BCC"/>
    <w:rsid w:val="00B22009"/>
    <w:rsid w:val="00B2711F"/>
    <w:rsid w:val="00B35930"/>
    <w:rsid w:val="00B44E19"/>
    <w:rsid w:val="00B45CA3"/>
    <w:rsid w:val="00B46B6F"/>
    <w:rsid w:val="00B500D1"/>
    <w:rsid w:val="00B542F5"/>
    <w:rsid w:val="00B80B83"/>
    <w:rsid w:val="00B945B6"/>
    <w:rsid w:val="00BA5663"/>
    <w:rsid w:val="00BB4CF5"/>
    <w:rsid w:val="00BD59C0"/>
    <w:rsid w:val="00BE47FD"/>
    <w:rsid w:val="00C47452"/>
    <w:rsid w:val="00C5579D"/>
    <w:rsid w:val="00C7784E"/>
    <w:rsid w:val="00C77A8D"/>
    <w:rsid w:val="00C854FB"/>
    <w:rsid w:val="00C860E1"/>
    <w:rsid w:val="00CA6CEA"/>
    <w:rsid w:val="00CC0173"/>
    <w:rsid w:val="00D01A3D"/>
    <w:rsid w:val="00D03533"/>
    <w:rsid w:val="00D22748"/>
    <w:rsid w:val="00D31767"/>
    <w:rsid w:val="00D41377"/>
    <w:rsid w:val="00D9171B"/>
    <w:rsid w:val="00DB2A3D"/>
    <w:rsid w:val="00DC3667"/>
    <w:rsid w:val="00DD2962"/>
    <w:rsid w:val="00E01CF6"/>
    <w:rsid w:val="00E12817"/>
    <w:rsid w:val="00E70679"/>
    <w:rsid w:val="00E75081"/>
    <w:rsid w:val="00E85EF6"/>
    <w:rsid w:val="00E91055"/>
    <w:rsid w:val="00EB51D3"/>
    <w:rsid w:val="00EC714A"/>
    <w:rsid w:val="00ED3803"/>
    <w:rsid w:val="00EE59C1"/>
    <w:rsid w:val="00F138BD"/>
    <w:rsid w:val="00F24DFA"/>
    <w:rsid w:val="00F674D7"/>
    <w:rsid w:val="00F8498C"/>
    <w:rsid w:val="00F905D4"/>
    <w:rsid w:val="00F9433F"/>
    <w:rsid w:val="00FA4E9F"/>
    <w:rsid w:val="00FA582B"/>
    <w:rsid w:val="00FA710E"/>
    <w:rsid w:val="00FA7561"/>
    <w:rsid w:val="00FB5303"/>
    <w:rsid w:val="00FD0BD9"/>
    <w:rsid w:val="00FF1FEF"/>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DD53F6E"/>
  <w14:defaultImageDpi w14:val="300"/>
  <w15:docId w15:val="{D86758B3-6359-6C46-9E70-47AE1992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C2BCB"/>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BC2BCB"/>
    <w:pPr>
      <w:tabs>
        <w:tab w:val="center" w:pos="4536"/>
        <w:tab w:val="right" w:pos="9072"/>
      </w:tabs>
    </w:pPr>
    <w:rPr>
      <w:lang w:val="x-none" w:eastAsia="x-none"/>
    </w:rPr>
  </w:style>
  <w:style w:type="paragraph" w:styleId="Fuzeile">
    <w:name w:val="footer"/>
    <w:basedOn w:val="Standard"/>
    <w:link w:val="FuzeileZchn"/>
    <w:uiPriority w:val="99"/>
    <w:rsid w:val="00BC2BCB"/>
    <w:pPr>
      <w:tabs>
        <w:tab w:val="center" w:pos="4536"/>
        <w:tab w:val="right" w:pos="9072"/>
      </w:tabs>
    </w:pPr>
    <w:rPr>
      <w:lang w:val="x-none" w:eastAsia="x-none"/>
    </w:rPr>
  </w:style>
  <w:style w:type="paragraph" w:styleId="Sprechblasentext">
    <w:name w:val="Balloon Text"/>
    <w:basedOn w:val="Standard"/>
    <w:link w:val="SprechblasentextZchn"/>
    <w:uiPriority w:val="99"/>
    <w:semiHidden/>
    <w:unhideWhenUsed/>
    <w:rsid w:val="008A2B74"/>
    <w:rPr>
      <w:rFonts w:ascii="Tahoma" w:hAnsi="Tahoma"/>
      <w:sz w:val="16"/>
      <w:szCs w:val="16"/>
      <w:lang w:val="x-none" w:eastAsia="x-none"/>
    </w:rPr>
  </w:style>
  <w:style w:type="character" w:customStyle="1" w:styleId="SprechblasentextZchn">
    <w:name w:val="Sprechblasentext Zchn"/>
    <w:link w:val="Sprechblasentext"/>
    <w:uiPriority w:val="99"/>
    <w:semiHidden/>
    <w:rsid w:val="008A2B74"/>
    <w:rPr>
      <w:rFonts w:ascii="Tahoma" w:hAnsi="Tahoma" w:cs="Tahoma"/>
      <w:sz w:val="16"/>
      <w:szCs w:val="16"/>
    </w:rPr>
  </w:style>
  <w:style w:type="paragraph" w:styleId="Listenabsatz">
    <w:name w:val="List Paragraph"/>
    <w:basedOn w:val="Standard"/>
    <w:uiPriority w:val="72"/>
    <w:qFormat/>
    <w:rsid w:val="00B616B0"/>
    <w:pPr>
      <w:ind w:left="720"/>
      <w:contextualSpacing/>
    </w:pPr>
  </w:style>
  <w:style w:type="table" w:styleId="Tabellenraster">
    <w:name w:val="Table Grid"/>
    <w:basedOn w:val="NormaleTabelle"/>
    <w:rsid w:val="000730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AB1EF7"/>
    <w:rPr>
      <w:sz w:val="24"/>
      <w:szCs w:val="24"/>
    </w:rPr>
  </w:style>
  <w:style w:type="character" w:customStyle="1" w:styleId="FuzeileZchn">
    <w:name w:val="Fußzeile Zchn"/>
    <w:link w:val="Fuzeile"/>
    <w:uiPriority w:val="99"/>
    <w:rsid w:val="00AB1EF7"/>
    <w:rPr>
      <w:sz w:val="24"/>
      <w:szCs w:val="24"/>
    </w:rPr>
  </w:style>
  <w:style w:type="character" w:styleId="Funotenzeichen">
    <w:name w:val="footnote reference"/>
    <w:uiPriority w:val="99"/>
    <w:unhideWhenUsed/>
    <w:rsid w:val="005878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150367">
      <w:bodyDiv w:val="1"/>
      <w:marLeft w:val="0"/>
      <w:marRight w:val="0"/>
      <w:marTop w:val="0"/>
      <w:marBottom w:val="0"/>
      <w:divBdr>
        <w:top w:val="none" w:sz="0" w:space="0" w:color="auto"/>
        <w:left w:val="none" w:sz="0" w:space="0" w:color="auto"/>
        <w:bottom w:val="none" w:sz="0" w:space="0" w:color="auto"/>
        <w:right w:val="none" w:sz="0" w:space="0" w:color="auto"/>
      </w:divBdr>
    </w:div>
    <w:div w:id="10002333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0D750A-5BA8-4D4A-873A-8F4E684CB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314</Words>
  <Characters>1983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Werb</Company>
  <LinksUpToDate>false</LinksUpToDate>
  <CharactersWithSpaces>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Roland</dc:creator>
  <cp:keywords/>
  <dc:description/>
  <cp:lastModifiedBy>Gemeinde Waakirchen</cp:lastModifiedBy>
  <cp:revision>3</cp:revision>
  <cp:lastPrinted>2014-11-11T10:28:00Z</cp:lastPrinted>
  <dcterms:created xsi:type="dcterms:W3CDTF">2018-05-28T08:04:00Z</dcterms:created>
  <dcterms:modified xsi:type="dcterms:W3CDTF">2018-05-28T08:04:00Z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dDocumentEventProcessedId">
    <vt:lpwstr>e64385a8-57b5-4a43-933c-c12dd9c54981</vt:lpwstr>
  </property>
  <property fmtid="{D5CDD505-2E9C-101B-9397-08002B2CF9AE}" pid="3" name="_SourceUrl">
    <vt:lpwstr/>
  </property>
  <property fmtid="{D5CDD505-2E9C-101B-9397-08002B2CF9AE}" pid="4" name="AutoVersionDisabled">
    <vt:lpwstr>0</vt:lpwstr>
  </property>
  <property fmtid="{D5CDD505-2E9C-101B-9397-08002B2CF9AE}" pid="5" name="ItemType">
    <vt:lpwstr>1</vt:lpwstr>
  </property>
  <property fmtid="{D5CDD505-2E9C-101B-9397-08002B2CF9AE}" pid="6" name="Order">
    <vt:lpwstr/>
  </property>
  <property fmtid="{D5CDD505-2E9C-101B-9397-08002B2CF9AE}" pid="7" name="MetaInfo">
    <vt:lpwstr/>
  </property>
  <property fmtid="{D5CDD505-2E9C-101B-9397-08002B2CF9AE}" pid="8" name="Description">
    <vt:lpwstr/>
  </property>
  <property fmtid="{D5CDD505-2E9C-101B-9397-08002B2CF9AE}" pid="9" name="_SharedFileIndex">
    <vt:lpwstr/>
  </property>
</Properties>
</file>